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72" w:rsidRPr="00954D13" w:rsidRDefault="00E71A72" w:rsidP="00E71A72">
      <w:pPr>
        <w:pStyle w:val="Heading1"/>
        <w:spacing w:before="0" w:after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tp electronique de puissance et capteurs</w:t>
      </w:r>
      <w:r w:rsidRPr="00E71A72">
        <w:rPr>
          <w:rFonts w:asciiTheme="minorHAnsi" w:hAnsiTheme="minorHAnsi"/>
          <w:sz w:val="28"/>
          <w:szCs w:val="28"/>
        </w:rPr>
        <w:t xml:space="preserve"> </w:t>
      </w:r>
      <w:r w:rsidRPr="00954D13">
        <w:rPr>
          <w:rFonts w:asciiTheme="minorHAnsi" w:hAnsiTheme="minorHAnsi"/>
          <w:sz w:val="28"/>
          <w:szCs w:val="28"/>
        </w:rPr>
        <w:br/>
        <w:t>(</w:t>
      </w:r>
      <w:r>
        <w:rPr>
          <w:rFonts w:asciiTheme="minorHAnsi" w:hAnsiTheme="minorHAnsi"/>
          <w:sz w:val="28"/>
          <w:szCs w:val="28"/>
        </w:rPr>
        <w:t>6</w:t>
      </w:r>
      <w:r w:rsidRPr="00954D13">
        <w:rPr>
          <w:rFonts w:asciiTheme="minorHAnsi" w:hAnsiTheme="minorHAnsi"/>
          <w:sz w:val="28"/>
          <w:szCs w:val="28"/>
        </w:rPr>
        <w:t xml:space="preserve">0 H) </w:t>
      </w:r>
    </w:p>
    <w:p w:rsidR="00E71A72" w:rsidRPr="00E71A72" w:rsidRDefault="00E71A72" w:rsidP="00E71A72">
      <w:pPr>
        <w:spacing w:after="0" w:line="240" w:lineRule="auto"/>
        <w:jc w:val="center"/>
        <w:rPr>
          <w:rFonts w:asciiTheme="minorHAnsi" w:hAnsiTheme="minorHAnsi"/>
          <w:b/>
          <w:bCs/>
          <w:sz w:val="32"/>
          <w:szCs w:val="32"/>
          <w:lang w:val="fr-FR"/>
        </w:rPr>
      </w:pPr>
    </w:p>
    <w:p w:rsidR="002F74BC" w:rsidRPr="00244112" w:rsidRDefault="002F74BC" w:rsidP="002F74BC">
      <w:pPr>
        <w:spacing w:after="0" w:line="240" w:lineRule="auto"/>
        <w:jc w:val="lowKashida"/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</w:pPr>
      <w:r w:rsidRPr="00244112"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  <w:t>Objectifs :</w:t>
      </w:r>
    </w:p>
    <w:p w:rsidR="002F74BC" w:rsidRPr="000F392F" w:rsidRDefault="002F74BC" w:rsidP="002F74BC">
      <w:pPr>
        <w:spacing w:after="0" w:line="240" w:lineRule="auto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Au terme de ces TP l’étudiant sera capable de:</w:t>
      </w:r>
    </w:p>
    <w:p w:rsidR="00CD1D98" w:rsidRPr="000F392F" w:rsidRDefault="00CD1D98" w:rsidP="002F74BC">
      <w:pPr>
        <w:spacing w:after="0" w:line="240" w:lineRule="auto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</w:p>
    <w:p w:rsidR="002F74BC" w:rsidRPr="000F392F" w:rsidRDefault="002F74BC" w:rsidP="002F74BC">
      <w:pPr>
        <w:spacing w:after="0" w:line="240" w:lineRule="auto"/>
        <w:ind w:left="284" w:hanging="284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–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et analyser pratiquement les principaux montages du redresseur monophasé et du redresseur triphasé commandé par charge résistive, par charge R.L et par moteur à courant continu.</w:t>
      </w:r>
    </w:p>
    <w:p w:rsidR="002F74BC" w:rsidRPr="000F392F" w:rsidRDefault="002F74BC" w:rsidP="002F74BC">
      <w:pPr>
        <w:spacing w:after="0" w:line="240" w:lineRule="auto"/>
        <w:ind w:left="284" w:hanging="284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–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un gradateur à charge résistive et à  charge inductive.</w:t>
      </w:r>
    </w:p>
    <w:p w:rsidR="002F74BC" w:rsidRPr="000F392F" w:rsidRDefault="002F74BC" w:rsidP="002F74BC">
      <w:pPr>
        <w:spacing w:after="0" w:line="240" w:lineRule="auto"/>
        <w:ind w:left="284" w:hanging="284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–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un hacheur série et un hacheur parallèle commandé par un moteur à courant continu.</w:t>
      </w:r>
    </w:p>
    <w:p w:rsidR="002F74BC" w:rsidRPr="000F392F" w:rsidRDefault="002F74BC" w:rsidP="002F74BC">
      <w:pPr>
        <w:spacing w:after="0" w:line="240" w:lineRule="auto"/>
        <w:ind w:left="284" w:hanging="284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–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un onduleur autonome à charge résistive et inductive.</w:t>
      </w:r>
    </w:p>
    <w:p w:rsidR="002F74BC" w:rsidRPr="000F392F" w:rsidRDefault="002F74BC" w:rsidP="002F74BC">
      <w:pPr>
        <w:spacing w:after="0" w:line="240" w:lineRule="auto"/>
        <w:ind w:left="284" w:hanging="284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–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quelques montages industriels: minuterie, clignoteur, chargeur automatique.</w:t>
      </w:r>
    </w:p>
    <w:p w:rsidR="002F74BC" w:rsidRPr="000F392F" w:rsidRDefault="002F74BC" w:rsidP="002F74BC">
      <w:pPr>
        <w:spacing w:after="0" w:line="240" w:lineRule="auto"/>
        <w:ind w:left="284" w:hanging="284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–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pour régler la vitesse d’un moteur shunt à courant continu.</w:t>
      </w:r>
    </w:p>
    <w:p w:rsidR="002F74BC" w:rsidRPr="000F392F" w:rsidRDefault="002F74BC" w:rsidP="002F74BC">
      <w:pPr>
        <w:spacing w:after="0" w:line="240" w:lineRule="auto"/>
        <w:ind w:left="284" w:hanging="284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–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pour régler la vitesse d’un moteur à induction à courant alternatif.</w:t>
      </w:r>
    </w:p>
    <w:p w:rsidR="002F74BC" w:rsidRPr="000F392F" w:rsidRDefault="002F74BC" w:rsidP="002F74BC">
      <w:pPr>
        <w:spacing w:after="0" w:line="240" w:lineRule="auto"/>
        <w:ind w:left="284" w:hanging="284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–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réglage du facteur de puissance d’un moteur asynchrone.</w:t>
      </w:r>
    </w:p>
    <w:p w:rsidR="002F74BC" w:rsidRPr="000F392F" w:rsidRDefault="00D61FC6" w:rsidP="00D61FC6">
      <w:pPr>
        <w:rPr>
          <w:rFonts w:asciiTheme="minorHAnsi" w:hAnsiTheme="minorHAnsi"/>
          <w:sz w:val="24"/>
          <w:szCs w:val="24"/>
          <w:lang w:val="fr-FR"/>
        </w:rPr>
      </w:pPr>
      <w:r w:rsidRPr="000F392F">
        <w:rPr>
          <w:rFonts w:asciiTheme="minorHAnsi" w:hAnsiTheme="minorHAnsi"/>
          <w:sz w:val="24"/>
          <w:szCs w:val="24"/>
          <w:lang w:val="fr-FR"/>
        </w:rPr>
        <w:t>_    Réaliser toute les circuits en utilisant</w:t>
      </w:r>
      <w:r w:rsidR="00D00AAC" w:rsidRPr="000F392F">
        <w:rPr>
          <w:rFonts w:asciiTheme="minorHAnsi" w:hAnsiTheme="minorHAnsi"/>
          <w:sz w:val="24"/>
          <w:szCs w:val="24"/>
          <w:lang w:val="fr-FR"/>
        </w:rPr>
        <w:t xml:space="preserve"> la </w:t>
      </w:r>
      <w:proofErr w:type="spellStart"/>
      <w:r w:rsidR="00D00AAC" w:rsidRPr="000F392F">
        <w:rPr>
          <w:rFonts w:asciiTheme="minorHAnsi" w:hAnsiTheme="minorHAnsi"/>
          <w:sz w:val="24"/>
          <w:szCs w:val="24"/>
          <w:lang w:val="fr-FR"/>
        </w:rPr>
        <w:t>maquette,logiciel</w:t>
      </w:r>
      <w:proofErr w:type="spellEnd"/>
      <w:r w:rsidR="00D00AAC" w:rsidRPr="000F392F">
        <w:rPr>
          <w:rFonts w:asciiTheme="minorHAnsi" w:hAnsiTheme="minorHAnsi"/>
          <w:sz w:val="24"/>
          <w:szCs w:val="24"/>
          <w:lang w:val="fr-FR"/>
        </w:rPr>
        <w:t xml:space="preserve"> et assemblage.</w:t>
      </w:r>
    </w:p>
    <w:p w:rsidR="00CD1D98" w:rsidRPr="00244112" w:rsidRDefault="00CD1D98" w:rsidP="00D61FC6">
      <w:pPr>
        <w:rPr>
          <w:rFonts w:asciiTheme="minorHAnsi" w:hAnsiTheme="minorHAnsi"/>
          <w:b/>
          <w:bCs/>
          <w:sz w:val="24"/>
          <w:szCs w:val="24"/>
          <w:lang w:val="fr-FR"/>
        </w:rPr>
      </w:pPr>
    </w:p>
    <w:p w:rsidR="002F74BC" w:rsidRDefault="002F74BC" w:rsidP="005862D8">
      <w:pPr>
        <w:pStyle w:val="Title"/>
        <w:spacing w:before="0" w:after="0"/>
        <w:rPr>
          <w:rFonts w:asciiTheme="minorHAnsi" w:hAnsiTheme="minorHAnsi" w:cstheme="majorBidi"/>
          <w:sz w:val="24"/>
          <w:szCs w:val="24"/>
          <w:u w:val="single"/>
        </w:rPr>
      </w:pPr>
      <w:r w:rsidRPr="00244112">
        <w:rPr>
          <w:rFonts w:asciiTheme="minorHAnsi" w:hAnsiTheme="minorHAnsi" w:cstheme="majorBidi"/>
          <w:sz w:val="24"/>
          <w:szCs w:val="24"/>
          <w:u w:val="single"/>
        </w:rPr>
        <w:t>PARTIE 1 : ELECTRONIQUE DE PUISSANCE</w:t>
      </w:r>
      <w:r w:rsidR="005862D8" w:rsidRPr="00244112">
        <w:rPr>
          <w:rFonts w:asciiTheme="minorHAnsi" w:hAnsiTheme="minorHAnsi" w:cstheme="majorBidi"/>
          <w:sz w:val="24"/>
          <w:szCs w:val="24"/>
          <w:u w:val="single"/>
        </w:rPr>
        <w:t xml:space="preserve">   (</w:t>
      </w:r>
      <w:r w:rsidR="004C267E" w:rsidRPr="00244112">
        <w:rPr>
          <w:rFonts w:asciiTheme="minorHAnsi" w:hAnsiTheme="minorHAnsi" w:cstheme="majorBidi"/>
          <w:sz w:val="24"/>
          <w:szCs w:val="24"/>
          <w:u w:val="single"/>
        </w:rPr>
        <w:t>44H)</w:t>
      </w:r>
    </w:p>
    <w:p w:rsidR="00CD1D98" w:rsidRPr="00244112" w:rsidRDefault="00CD1D98" w:rsidP="005862D8">
      <w:pPr>
        <w:pStyle w:val="Title"/>
        <w:spacing w:before="0" w:after="0"/>
        <w:rPr>
          <w:rFonts w:asciiTheme="minorHAnsi" w:hAnsiTheme="minorHAnsi" w:cstheme="majorBidi"/>
          <w:sz w:val="24"/>
          <w:szCs w:val="24"/>
          <w:u w:val="single"/>
        </w:rPr>
      </w:pP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1.1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Caractéristiques directe et inverse d’une diode.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1.2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Caractéristiques statiques directes d’un thyristor.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1.3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Générateur d’impulsion à TUJ et TUP.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1.4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Caractéristique dynamique d’un thyristor : variation de l’angle d’amorçage pour une charge résistive et pour une charge inductive, conclure.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1.5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Redresseur monophasé à pont et à prise médiane  pour charges R C et R-L.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1.6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Redresseur pont triphasé pour alimenter un moteur à courant continu.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1.7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 xml:space="preserve">Gradateur de la lumière à </w:t>
      </w:r>
      <w:proofErr w:type="spellStart"/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Diac</w:t>
      </w:r>
      <w:proofErr w:type="spellEnd"/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, Triac pour l’éclairage variable d’une lampe à incandescence.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1.8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Transistor de puissance (bipolaire et BJT): caractéristiques statiques, état passant, état bloqué.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1.9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Temporisateur ou commutateur à arrêt automatique après un temps réglable: réaliser le montage et vérifier son fonctionnement.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1.10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d’un clignoteur à thyristor, et vérifier son fonctionnement.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1.11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d’un chargeur automatique de batterie et vérifier son fonctionnement.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lastRenderedPageBreak/>
        <w:t xml:space="preserve">1.12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d’un hacheur série  et d’un hacheur parallèle à thyristors ou à transistors de puissance (MOSFET) et vérifier son application sur un moteur à courant continu.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1.13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d’un hacheur réversible et déterminer son domaine d’utilisation.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1.14 Réaliser le montage d’un onduleur à deux thyristors en série ou en parallèle et déterminer son domaine d’utilisation.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1.15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pour régler la vitesse d’un moteur shunt à courant continu.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1.16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pour régler la tension d’un alternateur (AVR).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1.17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pour régler la vitesse en utilisant un Triac d’un moteur à induction à courant alternatif.</w:t>
      </w:r>
    </w:p>
    <w:p w:rsidR="002F74BC" w:rsidRPr="000F392F" w:rsidRDefault="002F74BC" w:rsidP="002F74BC">
      <w:pPr>
        <w:spacing w:after="0" w:line="240" w:lineRule="auto"/>
        <w:ind w:left="567" w:hanging="567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1.18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pour régler le facteur de puissance d’un moteur asynchrone.</w:t>
      </w:r>
    </w:p>
    <w:p w:rsidR="002F74BC" w:rsidRPr="00244112" w:rsidRDefault="002F74BC" w:rsidP="002F74BC">
      <w:pPr>
        <w:pBdr>
          <w:bottom w:val="single" w:sz="4" w:space="1" w:color="auto"/>
        </w:pBdr>
        <w:spacing w:after="0" w:line="240" w:lineRule="auto"/>
        <w:ind w:firstLine="720"/>
        <w:jc w:val="lowKashida"/>
        <w:rPr>
          <w:rFonts w:asciiTheme="minorHAnsi" w:hAnsiTheme="minorHAnsi" w:cstheme="majorBidi"/>
          <w:b/>
          <w:bCs/>
          <w:sz w:val="24"/>
          <w:szCs w:val="24"/>
          <w:lang w:val="fr-FR" w:eastAsia="fr-FR"/>
        </w:rPr>
      </w:pPr>
    </w:p>
    <w:p w:rsidR="002F74BC" w:rsidRPr="00244112" w:rsidRDefault="002F74BC" w:rsidP="002F74BC">
      <w:pPr>
        <w:pStyle w:val="Title"/>
        <w:spacing w:before="0" w:after="0"/>
        <w:jc w:val="left"/>
        <w:rPr>
          <w:rFonts w:asciiTheme="minorHAnsi" w:hAnsiTheme="minorHAnsi" w:cstheme="majorBidi"/>
          <w:szCs w:val="28"/>
          <w:u w:val="single"/>
        </w:rPr>
      </w:pPr>
      <w:r w:rsidRPr="00244112">
        <w:rPr>
          <w:rFonts w:asciiTheme="minorHAnsi" w:hAnsiTheme="minorHAnsi" w:cstheme="majorBidi"/>
          <w:szCs w:val="28"/>
          <w:u w:val="single"/>
        </w:rPr>
        <w:t>PARTIE 2 : CAPTEURS   (16H)</w:t>
      </w:r>
    </w:p>
    <w:p w:rsidR="002F74BC" w:rsidRPr="00244112" w:rsidRDefault="002F74BC" w:rsidP="002F74BC">
      <w:pPr>
        <w:pStyle w:val="Title"/>
        <w:spacing w:before="0" w:after="0"/>
        <w:jc w:val="left"/>
        <w:rPr>
          <w:rFonts w:asciiTheme="minorHAnsi" w:hAnsiTheme="minorHAnsi" w:cstheme="majorBidi"/>
          <w:sz w:val="24"/>
          <w:szCs w:val="24"/>
        </w:rPr>
      </w:pPr>
    </w:p>
    <w:p w:rsidR="002F74BC" w:rsidRPr="000F392F" w:rsidRDefault="002F74BC" w:rsidP="002F74BC">
      <w:pPr>
        <w:spacing w:after="0" w:line="240" w:lineRule="auto"/>
        <w:ind w:left="426" w:hanging="426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2.1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à photo-</w:t>
      </w:r>
      <w:proofErr w:type="spellStart"/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>resistor</w:t>
      </w:r>
      <w:proofErr w:type="spellEnd"/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(PR ou LDR).</w:t>
      </w:r>
    </w:p>
    <w:p w:rsidR="002F74BC" w:rsidRPr="000F392F" w:rsidRDefault="002F74BC" w:rsidP="002F74BC">
      <w:pPr>
        <w:spacing w:after="0" w:line="240" w:lineRule="auto"/>
        <w:ind w:left="426" w:hanging="426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2.2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à photodiode et à phototransistor.</w:t>
      </w:r>
    </w:p>
    <w:p w:rsidR="002F74BC" w:rsidRPr="000F392F" w:rsidRDefault="002F74BC" w:rsidP="002F74BC">
      <w:pPr>
        <w:spacing w:after="0" w:line="240" w:lineRule="auto"/>
        <w:ind w:left="426" w:hanging="426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2.3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 montage détecteur de passage (ou d’obscurité).</w:t>
      </w:r>
    </w:p>
    <w:p w:rsidR="002F74BC" w:rsidRPr="000F392F" w:rsidRDefault="002F74BC" w:rsidP="002F74BC">
      <w:pPr>
        <w:spacing w:after="0" w:line="240" w:lineRule="auto"/>
        <w:ind w:left="426" w:hanging="426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 xml:space="preserve">2.4 </w:t>
      </w: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Réaliser les montages thermoélectroniques à composants thermosensibles CTN, CTP.</w:t>
      </w:r>
    </w:p>
    <w:p w:rsidR="002F74BC" w:rsidRPr="000F392F" w:rsidRDefault="002F74BC" w:rsidP="002F74BC">
      <w:pPr>
        <w:spacing w:after="0" w:line="240" w:lineRule="auto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2.4.1 Dispositif thermoélectronique de commande de four.</w:t>
      </w:r>
    </w:p>
    <w:p w:rsidR="002F74BC" w:rsidRPr="000F392F" w:rsidRDefault="002F74BC" w:rsidP="002F74BC">
      <w:pPr>
        <w:spacing w:after="0" w:line="240" w:lineRule="auto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0F392F">
        <w:rPr>
          <w:rFonts w:asciiTheme="minorHAnsi" w:hAnsiTheme="minorHAnsi" w:cstheme="majorBidi"/>
          <w:sz w:val="24"/>
          <w:szCs w:val="24"/>
          <w:lang w:val="fr-FR" w:eastAsia="fr-FR"/>
        </w:rPr>
        <w:tab/>
        <w:t>2.4.2 Thermomètre à thermistance.</w:t>
      </w:r>
      <w:bookmarkStart w:id="0" w:name="_GoBack"/>
      <w:bookmarkEnd w:id="0"/>
    </w:p>
    <w:p w:rsidR="006F4884" w:rsidRDefault="006F4884" w:rsidP="00244112">
      <w:pPr>
        <w:pBdr>
          <w:bottom w:val="single" w:sz="4" w:space="1" w:color="auto"/>
        </w:pBd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6F4884" w:rsidRDefault="006F4884" w:rsidP="002B0025">
      <w:pP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244112" w:rsidRDefault="00244112" w:rsidP="002B0025">
      <w:pP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244112" w:rsidRDefault="00244112" w:rsidP="002B0025">
      <w:pP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244112" w:rsidRDefault="00244112" w:rsidP="002B0025">
      <w:pP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244112" w:rsidRDefault="00244112" w:rsidP="002B0025">
      <w:pP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244112" w:rsidRDefault="00244112" w:rsidP="002B0025">
      <w:pP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244112" w:rsidRDefault="00244112" w:rsidP="002B0025">
      <w:pP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244112" w:rsidRDefault="00244112" w:rsidP="002B0025">
      <w:pPr>
        <w:tabs>
          <w:tab w:val="left" w:pos="2820"/>
          <w:tab w:val="left" w:pos="3765"/>
        </w:tabs>
        <w:spacing w:after="0" w:line="240" w:lineRule="auto"/>
        <w:rPr>
          <w:b/>
          <w:bCs/>
          <w:sz w:val="28"/>
          <w:szCs w:val="28"/>
          <w:lang w:val="fr-FR"/>
        </w:rPr>
      </w:pPr>
    </w:p>
    <w:p w:rsidR="004A5C6E" w:rsidRDefault="004A5C6E"/>
    <w:sectPr w:rsidR="004A5C6E" w:rsidSect="00D300D5">
      <w:headerReference w:type="default" r:id="rId9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50" w:rsidRDefault="009F1E50" w:rsidP="004B6A18">
      <w:pPr>
        <w:spacing w:after="0" w:line="240" w:lineRule="auto"/>
      </w:pPr>
      <w:r>
        <w:separator/>
      </w:r>
    </w:p>
  </w:endnote>
  <w:endnote w:type="continuationSeparator" w:id="0">
    <w:p w:rsidR="009F1E50" w:rsidRDefault="009F1E50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50" w:rsidRDefault="009F1E50" w:rsidP="004B6A18">
      <w:pPr>
        <w:spacing w:after="0" w:line="240" w:lineRule="auto"/>
      </w:pPr>
      <w:r>
        <w:separator/>
      </w:r>
    </w:p>
  </w:footnote>
  <w:footnote w:type="continuationSeparator" w:id="0">
    <w:p w:rsidR="009F1E50" w:rsidRDefault="009F1E50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10F7A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B4700"/>
    <w:rsid w:val="009C0D05"/>
    <w:rsid w:val="009F1D5A"/>
    <w:rsid w:val="009F1E50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1267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5260"/>
    <w:rsid w:val="00E272FC"/>
    <w:rsid w:val="00E40D49"/>
    <w:rsid w:val="00E512DB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7398C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65B71-D35F-42DE-A231-9A03132B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339</cp:revision>
  <dcterms:created xsi:type="dcterms:W3CDTF">2014-04-07T15:55:00Z</dcterms:created>
  <dcterms:modified xsi:type="dcterms:W3CDTF">2020-12-06T13:14:00Z</dcterms:modified>
</cp:coreProperties>
</file>